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93" w:rsidRPr="00C2727B" w:rsidRDefault="00F35F0E">
      <w:pPr>
        <w:rPr>
          <w:rFonts w:ascii="Times New Roman" w:hAnsi="Times New Roman" w:cs="Times New Roman"/>
          <w:b/>
          <w:sz w:val="24"/>
          <w:szCs w:val="24"/>
        </w:rPr>
      </w:pPr>
      <w:r w:rsidRPr="00C2727B">
        <w:rPr>
          <w:rFonts w:ascii="Times New Roman" w:hAnsi="Times New Roman" w:cs="Times New Roman"/>
          <w:b/>
          <w:sz w:val="24"/>
          <w:szCs w:val="24"/>
        </w:rPr>
        <w:t>ANALISIS DEL CONTEXTO</w:t>
      </w:r>
    </w:p>
    <w:p w:rsidR="00F35F0E" w:rsidRDefault="00F35F0E">
      <w:pPr>
        <w:rPr>
          <w:rFonts w:ascii="Times New Roman" w:hAnsi="Times New Roman" w:cs="Times New Roman"/>
          <w:sz w:val="24"/>
          <w:szCs w:val="24"/>
        </w:rPr>
      </w:pPr>
    </w:p>
    <w:p w:rsidR="00F35F0E" w:rsidRDefault="00F35F0E">
      <w:pPr>
        <w:rPr>
          <w:rFonts w:ascii="Times New Roman" w:hAnsi="Times New Roman" w:cs="Times New Roman"/>
          <w:sz w:val="24"/>
          <w:szCs w:val="24"/>
        </w:rPr>
      </w:pPr>
      <w:r>
        <w:rPr>
          <w:rFonts w:ascii="Times New Roman" w:hAnsi="Times New Roman" w:cs="Times New Roman"/>
          <w:sz w:val="24"/>
          <w:szCs w:val="24"/>
        </w:rPr>
        <w:t>El escenario de atención a las personas mayores ha cambiado en los últimos años. El nivel de exigencia por parte de las administraciones públicas, motivado por el propio desarrollo social, hace que el Centro Geriátrico Borja (en adelante CGB) deba replantearse sus modelos de gestión, financiación, marketing, etc.</w:t>
      </w:r>
    </w:p>
    <w:p w:rsidR="00F35F0E" w:rsidRDefault="00F35F0E" w:rsidP="00F35F0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El centro trabajó en los 33 indicadores de la </w:t>
      </w:r>
      <w:proofErr w:type="spellStart"/>
      <w:r>
        <w:rPr>
          <w:rFonts w:ascii="Times New Roman" w:hAnsi="Times New Roman" w:cs="Times New Roman"/>
          <w:sz w:val="24"/>
          <w:szCs w:val="24"/>
        </w:rPr>
        <w:t>Conselleria</w:t>
      </w:r>
      <w:proofErr w:type="spellEnd"/>
      <w:r>
        <w:rPr>
          <w:rFonts w:ascii="Times New Roman" w:hAnsi="Times New Roman" w:cs="Times New Roman"/>
          <w:sz w:val="24"/>
          <w:szCs w:val="24"/>
        </w:rPr>
        <w:t xml:space="preserve"> de Bienestar Social hasta el año 2008 cuando comenzó a trabajar en el Sistema Básico de Calidad de LARES CV. Durante ese año se fue formando al personal y habilitando herramientas para comenzar su desarrollo.</w:t>
      </w:r>
    </w:p>
    <w:p w:rsidR="00F35F0E" w:rsidRDefault="00F35F0E" w:rsidP="00F35F0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Principales objetivos inmediatos: cambiar de Sistema de Gestión de Calidad, y adaptación a la normativa. En el 2016 se pretende la certificación en ISO.</w:t>
      </w:r>
    </w:p>
    <w:p w:rsidR="00F35F0E" w:rsidRDefault="00F35F0E" w:rsidP="00F35F0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El principal beneficio para el residente del centro es la Calidad (constatada por auditorías externas) y Calidez del trato y atención personalizada.</w:t>
      </w:r>
    </w:p>
    <w:p w:rsidR="00F35F0E" w:rsidRDefault="00F35F0E" w:rsidP="00F35F0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Los ratios de personal en lo que respecta a los de atención directa, son suficientes y cumplen la Orden de la </w:t>
      </w:r>
      <w:proofErr w:type="spellStart"/>
      <w:r>
        <w:rPr>
          <w:rFonts w:ascii="Times New Roman" w:hAnsi="Times New Roman" w:cs="Times New Roman"/>
          <w:sz w:val="24"/>
          <w:szCs w:val="24"/>
        </w:rPr>
        <w:t>Consellleria</w:t>
      </w:r>
      <w:proofErr w:type="spellEnd"/>
      <w:r>
        <w:rPr>
          <w:rFonts w:ascii="Times New Roman" w:hAnsi="Times New Roman" w:cs="Times New Roman"/>
          <w:sz w:val="24"/>
          <w:szCs w:val="24"/>
        </w:rPr>
        <w:t xml:space="preserve"> de febrero de 2005</w:t>
      </w:r>
      <w:r w:rsidR="00CD1FE2">
        <w:rPr>
          <w:rFonts w:ascii="Times New Roman" w:hAnsi="Times New Roman" w:cs="Times New Roman"/>
          <w:sz w:val="24"/>
          <w:szCs w:val="24"/>
        </w:rPr>
        <w:t xml:space="preserve">. Se apunta además que están contempladas las 9 figuras profesionales que exige </w:t>
      </w:r>
      <w:proofErr w:type="spellStart"/>
      <w:r w:rsidR="00CD1FE2">
        <w:rPr>
          <w:rFonts w:ascii="Times New Roman" w:hAnsi="Times New Roman" w:cs="Times New Roman"/>
          <w:sz w:val="24"/>
          <w:szCs w:val="24"/>
        </w:rPr>
        <w:t>Conselleria</w:t>
      </w:r>
      <w:proofErr w:type="spellEnd"/>
      <w:r w:rsidR="00CD1FE2">
        <w:rPr>
          <w:rFonts w:ascii="Times New Roman" w:hAnsi="Times New Roman" w:cs="Times New Roman"/>
          <w:sz w:val="24"/>
          <w:szCs w:val="24"/>
        </w:rPr>
        <w:t xml:space="preserve"> (director, médico</w:t>
      </w:r>
      <w:r>
        <w:rPr>
          <w:rFonts w:ascii="Times New Roman" w:hAnsi="Times New Roman" w:cs="Times New Roman"/>
          <w:sz w:val="24"/>
          <w:szCs w:val="24"/>
        </w:rPr>
        <w:t>, enfermero, fisioterapeuta, TASO</w:t>
      </w:r>
      <w:r w:rsidR="00CD1FE2">
        <w:rPr>
          <w:rFonts w:ascii="Times New Roman" w:hAnsi="Times New Roman" w:cs="Times New Roman"/>
          <w:sz w:val="24"/>
          <w:szCs w:val="24"/>
        </w:rPr>
        <w:t>C, Auxiliares, Trabajador Social</w:t>
      </w:r>
      <w:r>
        <w:rPr>
          <w:rFonts w:ascii="Times New Roman" w:hAnsi="Times New Roman" w:cs="Times New Roman"/>
          <w:sz w:val="24"/>
          <w:szCs w:val="24"/>
        </w:rPr>
        <w:t>, psicólogo y servicios generales).</w:t>
      </w:r>
    </w:p>
    <w:p w:rsidR="00F35F0E" w:rsidRDefault="00F35F0E" w:rsidP="00F35F0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La principal ventaja competitiva del centro es su ubicación, instalaciones y alta profesionalización del personal (reconocido por fuentes externas). Consideramos el trato familiar y agradable como el criterio más valorado de una residencia junto a </w:t>
      </w:r>
      <w:proofErr w:type="gramStart"/>
      <w:r>
        <w:rPr>
          <w:rFonts w:ascii="Times New Roman" w:hAnsi="Times New Roman" w:cs="Times New Roman"/>
          <w:sz w:val="24"/>
          <w:szCs w:val="24"/>
        </w:rPr>
        <w:t>las calidad</w:t>
      </w:r>
      <w:proofErr w:type="gramEnd"/>
      <w:r>
        <w:rPr>
          <w:rFonts w:ascii="Times New Roman" w:hAnsi="Times New Roman" w:cs="Times New Roman"/>
          <w:sz w:val="24"/>
          <w:szCs w:val="24"/>
        </w:rPr>
        <w:t xml:space="preserve"> de los servicios ofertados.</w:t>
      </w:r>
    </w:p>
    <w:p w:rsidR="0053419D" w:rsidRDefault="00F35F0E"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Existen, y se usan, programas y protocolos de actuación revisados periódi</w:t>
      </w:r>
      <w:r w:rsidR="0053419D">
        <w:rPr>
          <w:rFonts w:ascii="Times New Roman" w:hAnsi="Times New Roman" w:cs="Times New Roman"/>
          <w:sz w:val="24"/>
          <w:szCs w:val="24"/>
        </w:rPr>
        <w:t>camente. Asimismo está perfectamente diseñado el Reglamento de Régimen Interno.</w:t>
      </w:r>
    </w:p>
    <w:p w:rsidR="0053419D" w:rsidRDefault="0053419D"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El centro dispone de instalaciones y equipamiento adaptado para personas dependientes.</w:t>
      </w:r>
    </w:p>
    <w:p w:rsidR="0053419D" w:rsidRDefault="0053419D"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Uso de herramientas informáticas aunque mejorable ha mejorado, utilizándose el programa informático diseñado junto a los profesionales del centro, prácticamente al 100%. La gestión contable hace tiempo que está informatizada.</w:t>
      </w:r>
    </w:p>
    <w:p w:rsidR="0053419D" w:rsidRDefault="0053419D"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El equipo interdisciplinar está perfectamente consolidado y con una implicación excelente en la misión y valores del centro.</w:t>
      </w:r>
    </w:p>
    <w:p w:rsidR="0053419D" w:rsidRDefault="0053419D"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El marketing no está muy desarrollado, posiblemente porque no se ha percibido como muy necesario dado el grado de ocupación elevado. La página web del centro no se actualiza frecuentemente.</w:t>
      </w:r>
    </w:p>
    <w:p w:rsidR="005A6955" w:rsidRDefault="005A6955"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El CGB es un centro con déficit, hecho que es bastante frecuente en el sector “sin ánimo de lucro” y que necesita un tratamiento especial para intentar reducirlo.</w:t>
      </w:r>
    </w:p>
    <w:p w:rsidR="005A6955" w:rsidRDefault="005A6955"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El modelo de precios está fijado por la </w:t>
      </w:r>
      <w:proofErr w:type="spellStart"/>
      <w:r>
        <w:rPr>
          <w:rFonts w:ascii="Times New Roman" w:hAnsi="Times New Roman" w:cs="Times New Roman"/>
          <w:sz w:val="24"/>
          <w:szCs w:val="24"/>
        </w:rPr>
        <w:t>Consellería</w:t>
      </w:r>
      <w:proofErr w:type="spellEnd"/>
      <w:r>
        <w:rPr>
          <w:rFonts w:ascii="Times New Roman" w:hAnsi="Times New Roman" w:cs="Times New Roman"/>
          <w:sz w:val="24"/>
          <w:szCs w:val="24"/>
        </w:rPr>
        <w:t xml:space="preserve"> respecto a las plazas públicas. Las privadas dependen del grado de dependencia, pero no se han subido casi nada desde hace cuatro años.</w:t>
      </w:r>
    </w:p>
    <w:p w:rsidR="005A6955" w:rsidRDefault="005A6955" w:rsidP="0053419D">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Las fuentes de financi</w:t>
      </w:r>
      <w:r w:rsidR="00CD1FE2">
        <w:rPr>
          <w:rFonts w:ascii="Times New Roman" w:hAnsi="Times New Roman" w:cs="Times New Roman"/>
          <w:sz w:val="24"/>
          <w:szCs w:val="24"/>
        </w:rPr>
        <w:t>aci</w:t>
      </w:r>
      <w:r>
        <w:rPr>
          <w:rFonts w:ascii="Times New Roman" w:hAnsi="Times New Roman" w:cs="Times New Roman"/>
          <w:sz w:val="24"/>
          <w:szCs w:val="24"/>
        </w:rPr>
        <w:t>ón son</w:t>
      </w:r>
    </w:p>
    <w:p w:rsidR="005A6955" w:rsidRDefault="005A6955" w:rsidP="005A6955">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Cuotas</w:t>
      </w:r>
      <w:r w:rsidR="00CD1FE2">
        <w:rPr>
          <w:rFonts w:ascii="Times New Roman" w:hAnsi="Times New Roman" w:cs="Times New Roman"/>
          <w:sz w:val="24"/>
          <w:szCs w:val="24"/>
        </w:rPr>
        <w:t xml:space="preserve"> del residentes: 94%</w:t>
      </w:r>
    </w:p>
    <w:p w:rsidR="005A6955" w:rsidRDefault="005A6955" w:rsidP="005A6955">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Laboratorio</w:t>
      </w:r>
      <w:r w:rsidR="00CD1FE2">
        <w:rPr>
          <w:rFonts w:ascii="Times New Roman" w:hAnsi="Times New Roman" w:cs="Times New Roman"/>
          <w:sz w:val="24"/>
          <w:szCs w:val="24"/>
        </w:rPr>
        <w:t xml:space="preserve"> y otros: 0.4%</w:t>
      </w:r>
    </w:p>
    <w:p w:rsidR="005A6955" w:rsidRDefault="005A6955" w:rsidP="005A6955">
      <w:pPr>
        <w:pStyle w:val="Prrafodelista"/>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Fontilles</w:t>
      </w:r>
      <w:proofErr w:type="spellEnd"/>
      <w:r w:rsidR="00CD1FE2">
        <w:rPr>
          <w:rFonts w:ascii="Times New Roman" w:hAnsi="Times New Roman" w:cs="Times New Roman"/>
          <w:sz w:val="24"/>
          <w:szCs w:val="24"/>
        </w:rPr>
        <w:t>: 4%</w:t>
      </w:r>
    </w:p>
    <w:p w:rsidR="005A6955" w:rsidRPr="00612A21" w:rsidRDefault="005A6955" w:rsidP="005A6955">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Subvenciones públicas o privadas (bancos y empresas por medio de sus f</w:t>
      </w:r>
      <w:r w:rsidR="00CD1FE2">
        <w:rPr>
          <w:rFonts w:ascii="Times New Roman" w:hAnsi="Times New Roman" w:cs="Times New Roman"/>
          <w:sz w:val="24"/>
          <w:szCs w:val="24"/>
        </w:rPr>
        <w:t>undaciones sociales): 1.4%</w:t>
      </w:r>
    </w:p>
    <w:p w:rsidR="00CD1FE2" w:rsidRDefault="005A6955" w:rsidP="00612A21">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Dentro de las cuotas de</w:t>
      </w:r>
      <w:r w:rsidR="00612A21">
        <w:rPr>
          <w:rFonts w:ascii="Times New Roman" w:hAnsi="Times New Roman" w:cs="Times New Roman"/>
          <w:sz w:val="24"/>
          <w:szCs w:val="24"/>
        </w:rPr>
        <w:t xml:space="preserve"> los residentes en 2015 </w:t>
      </w:r>
      <w:r w:rsidR="00CD1FE2">
        <w:rPr>
          <w:rFonts w:ascii="Times New Roman" w:hAnsi="Times New Roman" w:cs="Times New Roman"/>
          <w:sz w:val="24"/>
          <w:szCs w:val="24"/>
        </w:rPr>
        <w:t>tenemos:+</w:t>
      </w:r>
    </w:p>
    <w:p w:rsidR="00CD1FE2" w:rsidRDefault="00CD1FE2" w:rsidP="00CD1FE2">
      <w:pPr>
        <w:pStyle w:val="Prrafodelista"/>
        <w:rPr>
          <w:rFonts w:ascii="Times New Roman" w:hAnsi="Times New Roman" w:cs="Times New Roman"/>
          <w:sz w:val="24"/>
          <w:szCs w:val="24"/>
        </w:rPr>
      </w:pPr>
      <w:r>
        <w:rPr>
          <w:rFonts w:ascii="Times New Roman" w:hAnsi="Times New Roman" w:cs="Times New Roman"/>
          <w:sz w:val="24"/>
          <w:szCs w:val="24"/>
        </w:rPr>
        <w:t xml:space="preserve">-Estancias: 1528340.61 €, de las cuales el 62.7% corresponde al residente y el 37.3% la </w:t>
      </w:r>
      <w:proofErr w:type="spellStart"/>
      <w:r>
        <w:rPr>
          <w:rFonts w:ascii="Times New Roman" w:hAnsi="Times New Roman" w:cs="Times New Roman"/>
          <w:sz w:val="24"/>
          <w:szCs w:val="24"/>
        </w:rPr>
        <w:t>Consellería</w:t>
      </w:r>
      <w:proofErr w:type="spellEnd"/>
      <w:r>
        <w:rPr>
          <w:rFonts w:ascii="Times New Roman" w:hAnsi="Times New Roman" w:cs="Times New Roman"/>
          <w:sz w:val="24"/>
          <w:szCs w:val="24"/>
        </w:rPr>
        <w:t>. Es ésta la que cobra al residente la parte que corresponde a éste y luego trasfiere al 100% al centro.</w:t>
      </w:r>
    </w:p>
    <w:p w:rsidR="00612A21" w:rsidRDefault="00CD1FE2" w:rsidP="00CD1FE2">
      <w:pPr>
        <w:pStyle w:val="Prrafodelista"/>
        <w:rPr>
          <w:rFonts w:ascii="Times New Roman" w:hAnsi="Times New Roman" w:cs="Times New Roman"/>
          <w:sz w:val="24"/>
          <w:szCs w:val="24"/>
        </w:rPr>
      </w:pPr>
      <w:r>
        <w:rPr>
          <w:rFonts w:ascii="Times New Roman" w:hAnsi="Times New Roman" w:cs="Times New Roman"/>
          <w:sz w:val="24"/>
          <w:szCs w:val="24"/>
        </w:rPr>
        <w:t>-Esa trasferencia no es mensual, lo que supone un cargo oneroso para el CGB que tiene que adelantar ese montante durante meses.</w:t>
      </w:r>
    </w:p>
    <w:p w:rsidR="00612A21" w:rsidRDefault="00612A21" w:rsidP="00612A21">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 xml:space="preserve">Los cambios a producir en los próximos años provendrán de las modificaciones de la Ley de la Dependencia así como de la nueva norma </w:t>
      </w:r>
      <w:r w:rsidR="00CD1FE2">
        <w:rPr>
          <w:rFonts w:ascii="Times New Roman" w:hAnsi="Times New Roman" w:cs="Times New Roman"/>
          <w:sz w:val="24"/>
          <w:szCs w:val="24"/>
        </w:rPr>
        <w:t>de gestión de calidad: ISO 9001; 2015.</w:t>
      </w:r>
    </w:p>
    <w:p w:rsidR="00612A21" w:rsidRDefault="00612A21" w:rsidP="00612A21">
      <w:pPr>
        <w:ind w:left="360"/>
        <w:rPr>
          <w:rFonts w:ascii="Times New Roman" w:hAnsi="Times New Roman" w:cs="Times New Roman"/>
          <w:sz w:val="24"/>
          <w:szCs w:val="24"/>
        </w:rPr>
      </w:pPr>
    </w:p>
    <w:p w:rsidR="00612A21" w:rsidRPr="00C2727B" w:rsidRDefault="00612A21" w:rsidP="00612A21">
      <w:pPr>
        <w:ind w:left="360"/>
        <w:rPr>
          <w:rFonts w:ascii="Times New Roman" w:hAnsi="Times New Roman" w:cs="Times New Roman"/>
          <w:b/>
          <w:sz w:val="24"/>
          <w:szCs w:val="24"/>
        </w:rPr>
      </w:pPr>
      <w:r w:rsidRPr="00C2727B">
        <w:rPr>
          <w:rFonts w:ascii="Times New Roman" w:hAnsi="Times New Roman" w:cs="Times New Roman"/>
          <w:b/>
          <w:sz w:val="24"/>
          <w:szCs w:val="24"/>
        </w:rPr>
        <w:t>TIPOLOGIA DE LOS RESIDENTES</w:t>
      </w:r>
    </w:p>
    <w:p w:rsidR="00612A21" w:rsidRDefault="00612A21" w:rsidP="00612A21">
      <w:pPr>
        <w:ind w:left="360"/>
        <w:rPr>
          <w:rFonts w:ascii="Times New Roman" w:hAnsi="Times New Roman" w:cs="Times New Roman"/>
          <w:sz w:val="24"/>
          <w:szCs w:val="24"/>
        </w:rPr>
      </w:pPr>
    </w:p>
    <w:p w:rsidR="00612A21" w:rsidRDefault="00612A21" w:rsidP="00612A21">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El perfil de residente-tipo consiste en una igualdad de género (50% hombres y 50% de mujeres), mayor de 80 años, con bajos-medios recursos económicos y con gran dependencia.</w:t>
      </w:r>
    </w:p>
    <w:p w:rsidR="00612A21" w:rsidRDefault="00612A21" w:rsidP="00612A21">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 xml:space="preserve">Se evidencia que entre dependientes y no </w:t>
      </w:r>
      <w:proofErr w:type="gramStart"/>
      <w:r>
        <w:rPr>
          <w:rFonts w:ascii="Times New Roman" w:hAnsi="Times New Roman" w:cs="Times New Roman"/>
          <w:sz w:val="24"/>
          <w:szCs w:val="24"/>
        </w:rPr>
        <w:t>dependientes ,</w:t>
      </w:r>
      <w:proofErr w:type="gramEnd"/>
      <w:r>
        <w:rPr>
          <w:rFonts w:ascii="Times New Roman" w:hAnsi="Times New Roman" w:cs="Times New Roman"/>
          <w:sz w:val="24"/>
          <w:szCs w:val="24"/>
        </w:rPr>
        <w:t xml:space="preserve"> de los primeros tenemos un 80%, y de éstos un 81% son de gran y severa dependencia.</w:t>
      </w:r>
    </w:p>
    <w:p w:rsidR="00612A21" w:rsidRDefault="00612A21" w:rsidP="00612A21">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La carga de trabajo para asistir a residentes</w:t>
      </w:r>
      <w:r w:rsidR="00C2727B">
        <w:rPr>
          <w:rFonts w:ascii="Times New Roman" w:hAnsi="Times New Roman" w:cs="Times New Roman"/>
          <w:sz w:val="24"/>
          <w:szCs w:val="24"/>
        </w:rPr>
        <w:t xml:space="preserve"> muy dependientes y enfermos con </w:t>
      </w:r>
      <w:proofErr w:type="spellStart"/>
      <w:r w:rsidR="00C2727B">
        <w:rPr>
          <w:rFonts w:ascii="Times New Roman" w:hAnsi="Times New Roman" w:cs="Times New Roman"/>
          <w:sz w:val="24"/>
          <w:szCs w:val="24"/>
        </w:rPr>
        <w:t>pluripatología</w:t>
      </w:r>
      <w:proofErr w:type="spellEnd"/>
      <w:r w:rsidR="00C2727B">
        <w:rPr>
          <w:rFonts w:ascii="Times New Roman" w:hAnsi="Times New Roman" w:cs="Times New Roman"/>
          <w:sz w:val="24"/>
          <w:szCs w:val="24"/>
        </w:rPr>
        <w:t xml:space="preserve"> es muy grande. Además, y dados los pocos recursos que hay para ellos, cada vez tenemos más residentes con problemas psiquiátricos.</w:t>
      </w:r>
    </w:p>
    <w:p w:rsidR="00C2727B" w:rsidRDefault="00C2727B" w:rsidP="00612A21">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El número de residentes con gran y severa dependencia ha ido aumentando a lo largo de los años. Extrapolando la definición de dependencia, vemos:</w:t>
      </w:r>
    </w:p>
    <w:p w:rsidR="00C2727B" w:rsidRDefault="00C2727B" w:rsidP="00C2727B">
      <w:pPr>
        <w:rPr>
          <w:rFonts w:ascii="Times New Roman" w:hAnsi="Times New Roman" w:cs="Times New Roman"/>
          <w:sz w:val="24"/>
          <w:szCs w:val="24"/>
        </w:rPr>
      </w:pPr>
      <w:r>
        <w:rPr>
          <w:rFonts w:ascii="Times New Roman" w:hAnsi="Times New Roman" w:cs="Times New Roman"/>
          <w:sz w:val="24"/>
          <w:szCs w:val="24"/>
        </w:rPr>
        <w:t xml:space="preserve">                       -En 2000:</w:t>
      </w:r>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 válidos y asistidos: 46.8%</w:t>
      </w:r>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 asistidos y supra-asistidos: 53.2%</w:t>
      </w:r>
      <w:bookmarkStart w:id="0" w:name="_GoBack"/>
      <w:bookmarkEnd w:id="0"/>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w:t>
      </w:r>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-En 2015:</w:t>
      </w:r>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w:t>
      </w:r>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-leve + moderada dependencia: 35%</w:t>
      </w:r>
    </w:p>
    <w:p w:rsidR="00C2727B" w:rsidRDefault="00C2727B" w:rsidP="00C2727B">
      <w:pPr>
        <w:pStyle w:val="Prrafodelista"/>
        <w:ind w:left="900"/>
        <w:rPr>
          <w:rFonts w:ascii="Times New Roman" w:hAnsi="Times New Roman" w:cs="Times New Roman"/>
          <w:sz w:val="24"/>
          <w:szCs w:val="24"/>
        </w:rPr>
      </w:pPr>
      <w:r>
        <w:rPr>
          <w:rFonts w:ascii="Times New Roman" w:hAnsi="Times New Roman" w:cs="Times New Roman"/>
          <w:sz w:val="24"/>
          <w:szCs w:val="24"/>
        </w:rPr>
        <w:t xml:space="preserve">                      - gran y severa dependencia: 65%</w:t>
      </w:r>
    </w:p>
    <w:p w:rsidR="00C2727B" w:rsidRPr="00C2727B" w:rsidRDefault="00C2727B" w:rsidP="00C2727B">
      <w:pPr>
        <w:pStyle w:val="Prrafodelista"/>
        <w:ind w:left="900"/>
        <w:rPr>
          <w:rFonts w:ascii="Times New Roman" w:hAnsi="Times New Roman" w:cs="Times New Roman"/>
          <w:sz w:val="24"/>
          <w:szCs w:val="24"/>
        </w:rPr>
      </w:pPr>
    </w:p>
    <w:p w:rsidR="005A6955" w:rsidRPr="005A6955" w:rsidRDefault="005A6955" w:rsidP="005A6955">
      <w:pPr>
        <w:rPr>
          <w:rFonts w:ascii="Times New Roman" w:hAnsi="Times New Roman" w:cs="Times New Roman"/>
          <w:sz w:val="24"/>
          <w:szCs w:val="24"/>
        </w:rPr>
      </w:pPr>
    </w:p>
    <w:p w:rsidR="00F35F0E" w:rsidRDefault="00F35F0E"/>
    <w:sectPr w:rsidR="00F35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50C8"/>
    <w:multiLevelType w:val="hybridMultilevel"/>
    <w:tmpl w:val="89503708"/>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30A3216C"/>
    <w:multiLevelType w:val="hybridMultilevel"/>
    <w:tmpl w:val="E478599C"/>
    <w:lvl w:ilvl="0" w:tplc="CFE29056">
      <w:numFmt w:val="bullet"/>
      <w:lvlText w:val="-"/>
      <w:lvlJc w:val="left"/>
      <w:pPr>
        <w:ind w:left="900" w:hanging="360"/>
      </w:pPr>
      <w:rPr>
        <w:rFonts w:ascii="Times New Roman" w:eastAsiaTheme="minorHAnsi" w:hAnsi="Times New Roman" w:cs="Times New Roman"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nsid w:val="37127BFF"/>
    <w:multiLevelType w:val="hybridMultilevel"/>
    <w:tmpl w:val="DCE4DA00"/>
    <w:lvl w:ilvl="0" w:tplc="CFE29056">
      <w:numFmt w:val="bullet"/>
      <w:lvlText w:val="-"/>
      <w:lvlJc w:val="left"/>
      <w:pPr>
        <w:ind w:left="900" w:hanging="360"/>
      </w:pPr>
      <w:rPr>
        <w:rFonts w:ascii="Times New Roman" w:eastAsiaTheme="minorHAnsi" w:hAnsi="Times New Roman" w:cs="Times New Roman"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
    <w:nsid w:val="47E151C4"/>
    <w:multiLevelType w:val="hybridMultilevel"/>
    <w:tmpl w:val="152466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83F5B00"/>
    <w:multiLevelType w:val="hybridMultilevel"/>
    <w:tmpl w:val="C4A0E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5C37DE2"/>
    <w:multiLevelType w:val="hybridMultilevel"/>
    <w:tmpl w:val="33580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0E"/>
    <w:rsid w:val="00447F93"/>
    <w:rsid w:val="0053419D"/>
    <w:rsid w:val="005A6955"/>
    <w:rsid w:val="00612A21"/>
    <w:rsid w:val="00C2727B"/>
    <w:rsid w:val="00CD1FE2"/>
    <w:rsid w:val="00F35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5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Psicologia</dc:creator>
  <cp:lastModifiedBy>Psicologia</cp:lastModifiedBy>
  <cp:revision>5</cp:revision>
  <dcterms:created xsi:type="dcterms:W3CDTF">2016-02-01T07:01:00Z</dcterms:created>
  <dcterms:modified xsi:type="dcterms:W3CDTF">2016-02-03T13:17:00Z</dcterms:modified>
</cp:coreProperties>
</file>